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0"/>
          <w:szCs w:val="22"/>
        </w:rPr>
        <w:t xml:space="preserve">     </w:t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/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/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/>
      </w:r>
    </w:p>
    <w:p>
      <w:pPr>
        <w:pStyle w:val="2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b w:val="false"/>
          <w:sz w:val="20"/>
          <w:szCs w:val="22"/>
        </w:rPr>
        <w:t xml:space="preserve">   </w:t>
      </w:r>
      <w:r>
        <w:rPr>
          <w:rFonts w:cs="Times New Roman"/>
          <w:b w:val="false"/>
          <w:sz w:val="26"/>
        </w:rPr>
        <w:t>РОССИЯ ФЕДЕРАЦИЯЗЫ    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От 14.06.2022 года</w:t>
        <w:tab/>
        <w:t xml:space="preserve">                                                         № 84-п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>Об  актуализации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 xml:space="preserve">схемы теплоснабжения </w:t>
      </w:r>
    </w:p>
    <w:p>
      <w:pPr>
        <w:pStyle w:val="Default"/>
        <w:rPr>
          <w:sz w:val="26"/>
          <w:szCs w:val="26"/>
        </w:rPr>
      </w:pPr>
      <w:r>
        <w:rPr>
          <w:rFonts w:eastAsia="" w:eastAsiaTheme="majorEastAsia"/>
          <w:b/>
          <w:color w:val="000000" w:themeColor="text1"/>
          <w:sz w:val="26"/>
          <w:szCs w:val="26"/>
        </w:rPr>
        <w:t>рп. Усть-Абакан на 2022 год</w:t>
      </w:r>
    </w:p>
    <w:p>
      <w:pPr>
        <w:pStyle w:val="Default"/>
        <w:rPr>
          <w:rFonts w:eastAsia="" w:eastAsiaTheme="majorEastAsia"/>
          <w:b/>
          <w:b/>
          <w:color w:val="000000" w:themeColor="text1"/>
        </w:rPr>
      </w:pPr>
      <w:r>
        <w:rPr>
          <w:rFonts w:eastAsia="" w:eastAsiaTheme="majorEastAsia"/>
          <w:b/>
          <w:color w:val="000000" w:themeColor="text1"/>
        </w:rPr>
      </w:r>
    </w:p>
    <w:p>
      <w:pPr>
        <w:pStyle w:val="Default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основании Федерального закона от 27.07.2010 года № 190-ФЗ «о теплоснабжении», постановления Правительства Российской Федерации от 22.02.2012 года № 154 «О требованиях к схемам теплоснабжения, порядку их разработки и утверждения», руководствуясь ст. 46 Устава муниципального образования Усть-Абаканского поссовета, а так же с целью актуализации на 2022 год схемы теплоснабжения МО Усть-Абаканский поссовет, утвержденной Постановлением № 77-п от 30.04.2021 года Администрации Усть-Абаканского поссовета «Об актуализации схемы теплоснабжения рп. Усть-Абакан на 2022 год» (далее-схема теплоснабжения)</w:t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ПОСТАНОВЛЯЮ:</w:t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Внести изменения в Постановление от 18.02.2022 года № 15-п «Об актуализации схемы теплоснабжения рп.Усть-Абакан на 2022 год». Пункт 1 изложить в следующей редакции:</w:t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Актуализировать схему теплоснабжения рп. Усть-Абакан на 2022 год.</w:t>
      </w:r>
    </w:p>
    <w:p>
      <w:pPr>
        <w:pStyle w:val="ConsPlusNormal"/>
        <w:ind w:left="54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п.16.1. приложения «Обосновывающие материалы к схеме теплоснабжения МО Усть-Абаканский поссовет на период до 2028 года (актуализация на 2022)»</w:t>
      </w:r>
    </w:p>
    <w:p>
      <w:pPr>
        <w:pStyle w:val="ConsPlusNormal"/>
        <w:ind w:left="54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перечень мероприятий по строительству, реконструкции, техническому перевооружению и  (или) модернизации источников тепловой энергии.</w:t>
      </w:r>
    </w:p>
    <w:p>
      <w:pPr>
        <w:pStyle w:val="ConsPlusNormal"/>
        <w:ind w:left="54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Таблица 16.1.- Перечень мероприятий по строительству, реконструкции, техническому перевооружению и (или) модернизации тепловых сетей и сооружений на них</w:t>
      </w:r>
    </w:p>
    <w:p>
      <w:pPr>
        <w:pStyle w:val="ConsPlusNormal"/>
        <w:ind w:left="540"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ConsPlusNormal"/>
        <w:ind w:left="540"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ConsPlusNormal"/>
        <w:ind w:left="540"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tbl>
      <w:tblPr>
        <w:tblStyle w:val="ac"/>
        <w:tblW w:w="9030" w:type="dxa"/>
        <w:jc w:val="left"/>
        <w:tblInd w:w="5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0"/>
        <w:gridCol w:w="7439"/>
      </w:tblGrid>
      <w:tr>
        <w:trPr/>
        <w:tc>
          <w:tcPr>
            <w:tcW w:w="9029" w:type="dxa"/>
            <w:gridSpan w:val="2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Мероприятия по подключению объектов теплоснабжения район «Микроквартал» МО Усть-Абаканский поссовет Усть-Абаканского района Республики Хакасия к системе теплоснабжения с тепловым источником «Абаканская ТЭЦ»</w:t>
            </w:r>
          </w:p>
        </w:tc>
      </w:tr>
      <w:tr>
        <w:trPr/>
        <w:tc>
          <w:tcPr>
            <w:tcW w:w="9029" w:type="dxa"/>
            <w:gridSpan w:val="2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Строительство тепловых сетей и ЦТП и ПНС (рп. Усть-Абакан)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Чачсть 1</w:t>
            </w:r>
          </w:p>
        </w:tc>
        <w:tc>
          <w:tcPr>
            <w:tcW w:w="7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Строительство тепловой сети 2 Ду 250/2Ду 150 надземного/подземного исполнения, прогнозной протяженностью 2 750 м с установкой ЦТП в районе «Микроквартала» (рп. Усть-Абакан)</w:t>
            </w:r>
          </w:p>
        </w:tc>
      </w:tr>
      <w:tr>
        <w:trPr/>
        <w:tc>
          <w:tcPr>
            <w:tcW w:w="15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Часть 2</w:t>
            </w:r>
          </w:p>
        </w:tc>
        <w:tc>
          <w:tcPr>
            <w:tcW w:w="7439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Строительство тепловой сети 2 Ду 200 подземного исполнения, прогнозной протяженностью 90 м  (рп. Усть-Абакан)</w:t>
            </w:r>
          </w:p>
        </w:tc>
      </w:tr>
      <w:tr>
        <w:trPr/>
        <w:tc>
          <w:tcPr>
            <w:tcW w:w="15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3</w:t>
            </w:r>
          </w:p>
        </w:tc>
        <w:tc>
          <w:tcPr>
            <w:tcW w:w="7439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Реконструкцию тепловой сети с 2 Ду 300 на 2 Ду 400 надземного исполнения после ЦТП-1 прогнозной протяженностью 580 м</w:t>
            </w:r>
          </w:p>
        </w:tc>
      </w:tr>
      <w:tr>
        <w:trPr/>
        <w:tc>
          <w:tcPr>
            <w:tcW w:w="1590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4</w:t>
            </w:r>
          </w:p>
        </w:tc>
        <w:tc>
          <w:tcPr>
            <w:tcW w:w="7439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Замещение котельной квартала «Подгорный» на автоматическую блочно-модульную котельную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Разместить актуализированную схему теплоснабжения рп. Усть-Абакан на официальном сайте Усть-Абаканского поссовета.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Опубликовать настоящее постановление в газете «Усть-Абаканские известия».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Усть-Абаканского поссовета</w:t>
        <w:tab/>
        <w:tab/>
        <w:tab/>
        <w:tab/>
        <w:t xml:space="preserve">          </w:t>
        <w:tab/>
        <w:t>Н.В. Леонченко</w:t>
      </w:r>
    </w:p>
    <w:p>
      <w:pPr>
        <w:sectPr>
          <w:type w:val="nextPage"/>
          <w:pgSz w:w="11906" w:h="16838"/>
          <w:pgMar w:left="1701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 w:before="0" w:after="200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>
      <w:pPr>
        <w:pStyle w:val="Normal"/>
        <w:ind w:hanging="0"/>
        <w:rPr>
          <w:rFonts w:eastAsia="Times New Roman" w:cs="Times New Roman"/>
          <w:sz w:val="26"/>
          <w:szCs w:val="26"/>
          <w:lang w:eastAsia="ru-RU"/>
        </w:rPr>
      </w:pPr>
      <w:r>
        <w:rPr/>
      </w:r>
    </w:p>
    <w:sectPr>
      <w:type w:val="nextPage"/>
      <w:pgSz w:orient="landscape" w:w="16838" w:h="11906"/>
      <w:pgMar w:left="1134" w:right="851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44441d"/>
    <w:rPr>
      <w:rFonts w:ascii="Times New Roman" w:hAnsi="Times New Roman"/>
      <w:sz w:val="24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44441d"/>
    <w:rPr>
      <w:rFonts w:ascii="Times New Roman" w:hAnsi="Times New Roman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line="240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9"/>
    <w:uiPriority w:val="99"/>
    <w:unhideWhenUsed/>
    <w:rsid w:val="004444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unhideWhenUsed/>
    <w:rsid w:val="004444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022e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Application>LibreOffice/6.4.4.2$Windows_x86 LibreOffice_project/3d775be2011f3886db32dfd395a6a6d1ca2630ff</Application>
  <Pages>3</Pages>
  <Words>336</Words>
  <Characters>2388</Characters>
  <CharactersWithSpaces>2913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2022-06-15T11:19:41Z</cp:lastPrinted>
  <dcterms:modified xsi:type="dcterms:W3CDTF">2022-06-15T11:20:24Z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