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ook w:val="04A0"/>
      </w:tblPr>
      <w:tblGrid>
        <w:gridCol w:w="9540"/>
      </w:tblGrid>
      <w:tr w:rsidR="00A75343">
        <w:trPr>
          <w:jc w:val="center"/>
        </w:trPr>
        <w:tc>
          <w:tcPr>
            <w:tcW w:w="9540" w:type="dxa"/>
            <w:shd w:val="clear" w:color="auto" w:fill="auto"/>
          </w:tcPr>
          <w:p w:rsidR="00A75343" w:rsidRDefault="008B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43">
        <w:trPr>
          <w:jc w:val="center"/>
        </w:trPr>
        <w:tc>
          <w:tcPr>
            <w:tcW w:w="9540" w:type="dxa"/>
            <w:tcBorders>
              <w:bottom w:val="double" w:sz="18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A75343" w:rsidRDefault="008B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002C01" w:rsidRDefault="0000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343" w:rsidRDefault="008B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A75343" w:rsidRDefault="00A753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5343" w:rsidRDefault="00002C01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B605B" w:rsidRPr="00AD303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ноября </w:t>
      </w:r>
      <w:r w:rsidR="008B605B" w:rsidRPr="00AD3030">
        <w:rPr>
          <w:rFonts w:ascii="Times New Roman" w:eastAsia="Times New Roman" w:hAnsi="Times New Roman" w:cs="Times New Roman"/>
          <w:sz w:val="26"/>
          <w:szCs w:val="26"/>
        </w:rPr>
        <w:t>2021г.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8B605B">
        <w:rPr>
          <w:rFonts w:ascii="Times New Roman" w:eastAsia="Times New Roman" w:hAnsi="Times New Roman" w:cs="Times New Roman"/>
          <w:sz w:val="26"/>
          <w:szCs w:val="26"/>
        </w:rPr>
        <w:t xml:space="preserve">рп Усть-Абакан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8B60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</w:p>
    <w:p w:rsidR="00A75343" w:rsidRDefault="008B60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75343" w:rsidRDefault="008B605B">
      <w:pPr>
        <w:pStyle w:val="ConsTitle"/>
        <w:widowControl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Совета депутатов Усть-Абаканского поссовета от 12.10.2012 г. № 44</w:t>
      </w:r>
    </w:p>
    <w:p w:rsidR="00A75343" w:rsidRDefault="00A75343">
      <w:pPr>
        <w:pStyle w:val="Con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75343" w:rsidRDefault="008B605B">
      <w:pPr>
        <w:pStyle w:val="ConsNormal"/>
        <w:widowControl/>
        <w:tabs>
          <w:tab w:val="left" w:pos="104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Рассмотрев ходатайство Главы Усть-Абаканского поссовета, в соответствии со ст. 24, 31-33 Градостроительного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ст. 29 Устава муниципального образования Усть-Абаканский поссовет,</w:t>
      </w:r>
    </w:p>
    <w:p w:rsidR="00A75343" w:rsidRDefault="008B605B">
      <w:pPr>
        <w:pStyle w:val="ConsNormal"/>
        <w:widowControl/>
        <w:tabs>
          <w:tab w:val="left" w:pos="1044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Усть-Абаканского поссовета</w:t>
      </w:r>
    </w:p>
    <w:p w:rsidR="00A75343" w:rsidRDefault="008B605B">
      <w:pPr>
        <w:pStyle w:val="ConsNormal"/>
        <w:widowControl/>
        <w:tabs>
          <w:tab w:val="left" w:pos="10440"/>
        </w:tabs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A75343" w:rsidRDefault="00A75343">
      <w:pPr>
        <w:pStyle w:val="ConsNormal"/>
        <w:widowControl/>
        <w:tabs>
          <w:tab w:val="left" w:pos="104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5343" w:rsidRDefault="008B605B">
      <w:pPr>
        <w:pStyle w:val="ConsNormal"/>
        <w:widowControl/>
        <w:tabs>
          <w:tab w:val="left" w:pos="10440"/>
        </w:tabs>
        <w:ind w:firstLine="567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текстовую часть (статью 25 части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val="en-US" w:eastAsia="ar-SA"/>
        </w:rPr>
        <w:t>III</w:t>
      </w:r>
      <w:r w:rsidRPr="00AD3030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Правил землепользования и застройки Усть-Абаканского </w:t>
      </w:r>
      <w:r w:rsidR="00AD3030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поссовета Усть-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Абаканского района привести в соответствие с Приказом Росреестра от 10.11.2020 № П/0412 «Об утверждении классификатора видов разрешенного использования земельных участков» для зоны застройк</w:t>
      </w:r>
      <w:r w:rsidR="00AD3030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и индивидуальными жилыми домами)</w:t>
      </w:r>
      <w:r w:rsidR="00002C01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согласно приложению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.</w:t>
      </w:r>
    </w:p>
    <w:p w:rsidR="00A75343" w:rsidRDefault="008B605B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2.  Настоящее Решение вступает в силу со дня его официального опубликования.</w:t>
      </w:r>
    </w:p>
    <w:p w:rsidR="00A75343" w:rsidRDefault="008B605B">
      <w:pPr>
        <w:pStyle w:val="a9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Направить настоящее Решение для подписания и опубликования в газете «Усть-Абаканские известия» </w:t>
      </w:r>
      <w:r w:rsidR="00002C01">
        <w:rPr>
          <w:rFonts w:ascii="Times New Roman" w:eastAsia="Times New Roman" w:hAnsi="Times New Roman" w:cs="Times New Roman"/>
          <w:sz w:val="26"/>
          <w:szCs w:val="26"/>
        </w:rPr>
        <w:t>и.о. Главы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Усть-Абаканского поссовета </w:t>
      </w:r>
      <w:r w:rsidR="00002C01">
        <w:rPr>
          <w:rFonts w:ascii="Times New Roman" w:eastAsia="Times New Roman" w:hAnsi="Times New Roman" w:cs="Times New Roman"/>
          <w:sz w:val="26"/>
          <w:szCs w:val="26"/>
        </w:rPr>
        <w:t>Т.Ю. Можаровой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5343" w:rsidRDefault="00A75343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5343" w:rsidRDefault="00A75343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5343" w:rsidRDefault="00A75343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5343" w:rsidRDefault="0000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="008B605B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A75343" w:rsidRDefault="008B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Усть-Абаканского поссовета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002C01">
        <w:rPr>
          <w:rFonts w:ascii="Times New Roman" w:eastAsia="Times New Roman" w:hAnsi="Times New Roman" w:cs="Times New Roman"/>
          <w:sz w:val="26"/>
          <w:szCs w:val="26"/>
        </w:rPr>
        <w:t xml:space="preserve">      Т.Ю. Можарова</w:t>
      </w:r>
    </w:p>
    <w:p w:rsidR="00A75343" w:rsidRDefault="00A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75343" w:rsidRDefault="008B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75343" w:rsidRDefault="008B605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Усть-Абаканского поссовета                                            </w:t>
      </w:r>
      <w:r w:rsidR="00AD30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М.А. Губина</w:t>
      </w:r>
    </w:p>
    <w:p w:rsidR="00A75343" w:rsidRDefault="00A753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343" w:rsidRDefault="008B605B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75343" w:rsidRDefault="008B60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A75343" w:rsidRDefault="008B60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A75343" w:rsidRDefault="008B605B" w:rsidP="00AD3030">
      <w:pPr>
        <w:tabs>
          <w:tab w:val="left" w:pos="524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02C01">
        <w:rPr>
          <w:rFonts w:ascii="Times New Roman" w:hAnsi="Times New Roman" w:cs="Times New Roman"/>
          <w:sz w:val="26"/>
          <w:szCs w:val="26"/>
        </w:rPr>
        <w:t>26 ноября</w:t>
      </w:r>
      <w:r>
        <w:rPr>
          <w:rFonts w:ascii="Times New Roman" w:hAnsi="Times New Roman" w:cs="Times New Roman"/>
          <w:sz w:val="26"/>
          <w:szCs w:val="26"/>
        </w:rPr>
        <w:t xml:space="preserve"> 2021г. №</w:t>
      </w:r>
      <w:r w:rsidR="00002C01"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A75343" w:rsidRDefault="00A75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5343" w:rsidRDefault="008B605B">
      <w:pPr>
        <w:pStyle w:val="p1"/>
        <w:contextualSpacing/>
      </w:pPr>
      <w:r>
        <w:rPr>
          <w:sz w:val="24"/>
          <w:szCs w:val="24"/>
        </w:rPr>
        <w:t>Жилые зоны (Ж)</w:t>
      </w:r>
    </w:p>
    <w:p w:rsidR="00DA2940" w:rsidRDefault="00DA2940">
      <w:pPr>
        <w:pStyle w:val="p1"/>
        <w:contextualSpacing/>
        <w:rPr>
          <w:sz w:val="24"/>
          <w:szCs w:val="24"/>
        </w:rPr>
      </w:pPr>
    </w:p>
    <w:p w:rsidR="00A75343" w:rsidRDefault="008B605B">
      <w:pPr>
        <w:pStyle w:val="p1"/>
        <w:contextualSpacing/>
      </w:pPr>
      <w:r>
        <w:rPr>
          <w:sz w:val="24"/>
          <w:szCs w:val="24"/>
        </w:rPr>
        <w:t>Зона застройки индивидуальными жилыми домами (Ж-1)</w:t>
      </w:r>
    </w:p>
    <w:p w:rsidR="00A75343" w:rsidRDefault="008B605B">
      <w:pPr>
        <w:pStyle w:val="p1"/>
        <w:contextualSpacing/>
      </w:pPr>
      <w:r>
        <w:rPr>
          <w:sz w:val="24"/>
          <w:szCs w:val="24"/>
        </w:rPr>
        <w:t>Основные виды разрешенного использования</w:t>
      </w:r>
    </w:p>
    <w:tbl>
      <w:tblPr>
        <w:tblW w:w="9611" w:type="dxa"/>
        <w:jc w:val="center"/>
        <w:tblLook w:val="04A0"/>
      </w:tblPr>
      <w:tblGrid>
        <w:gridCol w:w="2517"/>
        <w:gridCol w:w="7094"/>
      </w:tblGrid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rPr>
                <w:b/>
                <w:bCs/>
              </w:rPr>
              <w:t>Виды разрешенного использования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Для индивидуального жилищного строительства (2.1)*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0,06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</w:t>
            </w:r>
            <w:r w:rsidR="00002C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 (в том числе до красной линии улиц - 5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этажа, (20 м)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30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Для ведения личного подсобного хозяйства (приусадебный земельный участок) (2.2)*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0,05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0,15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 (в том числе до красной линии улиц – 5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этажа, (20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Блокированная жилая застройка (2.3)*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0,06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</w:t>
            </w:r>
            <w:r w:rsidR="00002C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 (в том числе до красной линии улиц – 5 м;  границы смежной блок-секции на соседнем земельном участке - 0 м.)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этажа, (20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Предоставление коммунальных услуг (3.1.1)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не подлежат установлению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Оказание услуг связи (3.2.3)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минимальное количество этажей или предельная высота зданий, строений, сооружений – 1 этаж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60</w:t>
            </w:r>
          </w:p>
        </w:tc>
      </w:tr>
      <w:tr w:rsidR="00A75343" w:rsidTr="00AD3030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lastRenderedPageBreak/>
              <w:t>Амбулаторно-поликлиническое обслуживание (3.4.1)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5,0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AD3030">
        <w:trPr>
          <w:trHeight w:val="240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1"/>
              <w:contextualSpacing/>
            </w:pPr>
            <w:r>
              <w:rPr>
                <w:b w:val="0"/>
                <w:bCs w:val="0"/>
                <w:sz w:val="24"/>
                <w:szCs w:val="24"/>
              </w:rPr>
              <w:t>Площадки для занятий спортом (5.1.3)</w:t>
            </w:r>
          </w:p>
          <w:p w:rsidR="00A75343" w:rsidRDefault="00A75343">
            <w:pPr>
              <w:pStyle w:val="p1"/>
              <w:contextualSpacing/>
              <w:rPr>
                <w:b w:val="0"/>
                <w:bCs w:val="0"/>
                <w:sz w:val="24"/>
                <w:szCs w:val="24"/>
              </w:rPr>
            </w:pPr>
          </w:p>
          <w:p w:rsidR="00A75343" w:rsidRDefault="008B605B">
            <w:pPr>
              <w:pStyle w:val="p1"/>
              <w:contextualSpacing/>
            </w:pPr>
            <w:r>
              <w:rPr>
                <w:b w:val="0"/>
                <w:bCs w:val="0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не подлежат установлению</w:t>
            </w:r>
          </w:p>
        </w:tc>
      </w:tr>
    </w:tbl>
    <w:p w:rsidR="00A75343" w:rsidRDefault="008B605B">
      <w:pPr>
        <w:pStyle w:val="p"/>
        <w:contextualSpacing/>
      </w:pPr>
      <w:r>
        <w:t>*</w:t>
      </w:r>
      <w:r>
        <w:rPr>
          <w:sz w:val="18"/>
          <w:szCs w:val="18"/>
        </w:rPr>
        <w:t>1)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– 3,0 м; от построек для содержания скота и птицы (для земельных участков с видом разрешённого использования (2.2)) – 4,0 м; от бани, гаража и других построек – 1,0 м; открытых стоянок автомобилей – не менее 1 м  от стволов высокорослых деревьев – 4,0 м; от стволов среднерослых деревьев – 2,0 м; от кустарника – 1,0 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2)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3) в условиях реконструкции и строительства в кварталах существующей застройки, расстояние между фронтальной границей участка (со стороны красной линии улицы или если красная линия не установлена, то со стороны линии существующей сложившейся застройки) и основным строением должно быть в соответствии со сложившейся линией застройки;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не допускается размещать вспомогательные строения, кроме гаражей со стороны улиц. При этом гараж должен быть расположен по одной линии застройки с основным строением;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4) расстояние от края проезжей части или спланированной поверхности, обеспечивающей проезд пожарных автомобилей, до стен жилых домов и хозяйственных построек от 5м до 8 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5) расстояние от хозяйственных построек для скота и птицы (для земельных участков с видом разрешённого использования (2.2)) до окон жилых помещений дома: одиночные или двойные – не менее 15 м, до 8 блоков – не менее 25 м, свыше 8 до 30 блоков – не менее 50 м. Размещаемые в пределах селитебной территории группы сараев должны содержать не более 30 блоков каждая;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6) постройки для содержания скота и птицы (для земельных участков с видом разрешённого использования (2.2)) допускается пристраивать только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7) в соответствии с ветеринарными правилами содержания крупного рогатого скота в целях его воспроизводства, выращивания и реализации утвержденными Приказом Министерства сельского хозяйства от 13.12.2016 № 551 не допускается  строительство зданий для содержания более 10 голов крупного рогатого скота (для земельных участков с видом разрешённого использования (2.2));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8)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9) расстояние от сараев для скота и птицы до шахтных колодцев должно быть не менее 20 м (для земельных участков с видом разрешённого использования (2.2).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10) септик должен располагаться в границах земельного участка. Расстояние от септика до источника питьевого водоснабжения, скважины не менее 50 м, до водоема со стоячей водой (озера, пруда и т.п.) – не менее 30 м, до водоема проточного (реки, ручья) – 10 м, до деревьев – 3 м, от кустарника – на 1 м, до дороги – не менее 5 м, до границ смежного участка – 4 м.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11) между длинными сторонами многоквартирных жилых зданий следует принимать расстояния (бытовые разрывы): для жилых зданий высотой 2 - 3 этажа – не менее 15 м; 4 этажа – не менее 20 м; между длинными сторонами и торцами этих же зданий с окнами из жилых комнат – не менее 10 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12) расстояния от границ застройки до лесных массивов должны быть не менее 15 м;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13) процент нежилых помещений в жилых домах с видом разрешенного использования:</w:t>
      </w:r>
    </w:p>
    <w:p w:rsidR="00A75343" w:rsidRDefault="008B605B">
      <w:pPr>
        <w:pStyle w:val="p"/>
        <w:contextualSpacing/>
      </w:pPr>
      <w:r>
        <w:rPr>
          <w:sz w:val="18"/>
          <w:szCs w:val="18"/>
        </w:rPr>
        <w:t>малоэтажная многоквартирная жилая застройка (2.1.1) – не более 15%;</w:t>
      </w:r>
    </w:p>
    <w:p w:rsidR="00A75343" w:rsidRDefault="008B605B">
      <w:pPr>
        <w:pStyle w:val="p0"/>
        <w:ind w:firstLine="0"/>
        <w:contextualSpacing/>
      </w:pPr>
      <w:r>
        <w:rPr>
          <w:sz w:val="18"/>
          <w:szCs w:val="18"/>
        </w:rPr>
        <w:t>14) расстояние от хозяйственных построек и автостоянок закрытого типа до красных линий улиц и проездов должно быть не менее 5 м.</w:t>
      </w:r>
    </w:p>
    <w:p w:rsidR="00A75343" w:rsidRDefault="00A75343">
      <w:pPr>
        <w:pStyle w:val="p1"/>
        <w:contextualSpacing/>
        <w:rPr>
          <w:sz w:val="24"/>
          <w:szCs w:val="24"/>
        </w:rPr>
      </w:pPr>
    </w:p>
    <w:p w:rsidR="00A75343" w:rsidRDefault="008B605B">
      <w:pPr>
        <w:pStyle w:val="p1"/>
        <w:contextualSpacing/>
      </w:pPr>
      <w:r>
        <w:rPr>
          <w:sz w:val="24"/>
          <w:szCs w:val="24"/>
        </w:rPr>
        <w:lastRenderedPageBreak/>
        <w:t>Условно разрешенные виды использования</w:t>
      </w:r>
    </w:p>
    <w:tbl>
      <w:tblPr>
        <w:tblW w:w="9775" w:type="dxa"/>
        <w:jc w:val="center"/>
        <w:tblInd w:w="-128" w:type="dxa"/>
        <w:tblLook w:val="04A0"/>
      </w:tblPr>
      <w:tblGrid>
        <w:gridCol w:w="2262"/>
        <w:gridCol w:w="7513"/>
      </w:tblGrid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1"/>
              <w:contextualSpacing/>
            </w:pPr>
            <w:r>
              <w:rPr>
                <w:b w:val="0"/>
                <w:bCs w:val="0"/>
                <w:sz w:val="24"/>
                <w:szCs w:val="24"/>
              </w:rPr>
              <w:t xml:space="preserve">Малоэтажная многоквартирная жилая застройка (2.1.1)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0,06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 (в том числе до красной линии улиц – 5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4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40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Хранение автотранспорта (2.7.1)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0,0018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1 м (до смежного гаража (парковочного места) - 0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1 этаж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не подлежат установлению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Дома социального обслуживания (3.2.1)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Оказание социальной помощи населению (3.2.2)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Бытовое обслуживание  (3.3)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Дошкольное, начальное и среднее общее образование (3.5.1)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0,06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5,0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– 6 м (минимальный отступ от дошкольной образовательной организации, общеобразовательной организации до красной линии улиц – 10 м)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4 этажа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Амбулаторное ветеринарное обслуживание (3.10.1)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1 этаж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lastRenderedPageBreak/>
              <w:t>Деловое управление (4.1)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1 этаж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Магазины (4.4)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2 этажа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Общественное питание (4.6)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0,5 га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2 этажа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Гостиничное обслуживание (4.7)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0,02 га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3 м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  <w:tr w:rsidR="00A75343" w:rsidTr="009D2C21">
        <w:trPr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1"/>
              <w:contextualSpacing/>
            </w:pPr>
            <w:r>
              <w:rPr>
                <w:b w:val="0"/>
                <w:bCs w:val="0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минимальные размеры земельного участка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размеры земельного участка – не подлежат установлению</w:t>
            </w:r>
          </w:p>
          <w:p w:rsidR="00A75343" w:rsidRDefault="008B605B">
            <w:pPr>
              <w:pStyle w:val="p"/>
              <w:contextualSpacing/>
            </w:pPr>
            <w:r>
              <w:t>Минимальные отступы от границ земельных участков – не подлежат установлению</w:t>
            </w:r>
          </w:p>
          <w:p w:rsidR="00A75343" w:rsidRDefault="008B605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A75343" w:rsidRDefault="008B605B">
            <w:pPr>
              <w:pStyle w:val="p1"/>
              <w:contextualSpacing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Максимальный процент застройки в границах земельного участка – 60</w:t>
            </w:r>
          </w:p>
        </w:tc>
      </w:tr>
    </w:tbl>
    <w:p w:rsidR="00A75343" w:rsidRDefault="00A75343">
      <w:pPr>
        <w:pStyle w:val="p1"/>
        <w:contextualSpacing/>
        <w:rPr>
          <w:sz w:val="24"/>
          <w:szCs w:val="24"/>
        </w:rPr>
      </w:pPr>
    </w:p>
    <w:p w:rsidR="00A75343" w:rsidRDefault="008B605B">
      <w:pPr>
        <w:pStyle w:val="p1"/>
        <w:contextualSpacing/>
      </w:pPr>
      <w:r>
        <w:rPr>
          <w:sz w:val="24"/>
          <w:szCs w:val="24"/>
        </w:rPr>
        <w:t>Вспомогательные  виды разрешенного использования</w:t>
      </w:r>
    </w:p>
    <w:tbl>
      <w:tblPr>
        <w:tblW w:w="9611" w:type="dxa"/>
        <w:jc w:val="center"/>
        <w:tblInd w:w="-128" w:type="dxa"/>
        <w:tblLook w:val="04A0"/>
      </w:tblPr>
      <w:tblGrid>
        <w:gridCol w:w="9611"/>
      </w:tblGrid>
      <w:tr w:rsidR="00A75343" w:rsidTr="00AD3030">
        <w:trPr>
          <w:jc w:val="center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"/>
              <w:contextualSpacing/>
              <w:jc w:val="center"/>
            </w:pPr>
            <w:r>
              <w:t>Предоставление коммунальных услуг (3.1.1)</w:t>
            </w:r>
          </w:p>
        </w:tc>
      </w:tr>
      <w:tr w:rsidR="00A75343" w:rsidTr="00AD3030">
        <w:trPr>
          <w:jc w:val="center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343" w:rsidRDefault="008B605B">
            <w:pPr>
              <w:pStyle w:val="p1"/>
              <w:contextualSpacing/>
            </w:pPr>
            <w:r>
              <w:rPr>
                <w:b w:val="0"/>
                <w:bCs w:val="0"/>
                <w:sz w:val="24"/>
                <w:szCs w:val="24"/>
              </w:rPr>
              <w:t>Благоустройство территории  (12.0.2)</w:t>
            </w:r>
          </w:p>
        </w:tc>
      </w:tr>
    </w:tbl>
    <w:p w:rsidR="00A75343" w:rsidRDefault="00A75343" w:rsidP="009D2C21">
      <w:pPr>
        <w:pStyle w:val="p1"/>
        <w:tabs>
          <w:tab w:val="left" w:pos="1494"/>
        </w:tabs>
        <w:contextualSpacing/>
        <w:jc w:val="left"/>
      </w:pPr>
    </w:p>
    <w:sectPr w:rsidR="00A75343" w:rsidSect="00AD3030">
      <w:pgSz w:w="11906" w:h="16838"/>
      <w:pgMar w:top="1134" w:right="567" w:bottom="1134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EE" w:rsidRDefault="00EB55EE" w:rsidP="00A75343">
      <w:pPr>
        <w:spacing w:after="0" w:line="240" w:lineRule="auto"/>
      </w:pPr>
      <w:r>
        <w:separator/>
      </w:r>
    </w:p>
  </w:endnote>
  <w:endnote w:type="continuationSeparator" w:id="1">
    <w:p w:rsidR="00EB55EE" w:rsidRDefault="00EB55EE" w:rsidP="00A7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EE" w:rsidRDefault="00EB55EE" w:rsidP="00A75343">
      <w:pPr>
        <w:spacing w:after="0" w:line="240" w:lineRule="auto"/>
      </w:pPr>
      <w:r>
        <w:separator/>
      </w:r>
    </w:p>
  </w:footnote>
  <w:footnote w:type="continuationSeparator" w:id="1">
    <w:p w:rsidR="00EB55EE" w:rsidRDefault="00EB55EE" w:rsidP="00A75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343"/>
    <w:rsid w:val="00002C01"/>
    <w:rsid w:val="000F3D13"/>
    <w:rsid w:val="008B605B"/>
    <w:rsid w:val="009D2C21"/>
    <w:rsid w:val="00A75343"/>
    <w:rsid w:val="00AD3030"/>
    <w:rsid w:val="00C31F2C"/>
    <w:rsid w:val="00DA2940"/>
    <w:rsid w:val="00EB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90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504D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504D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Цветовое выделение"/>
    <w:qFormat/>
    <w:rsid w:val="00A75343"/>
    <w:rPr>
      <w:b/>
      <w:color w:val="26282F"/>
    </w:rPr>
  </w:style>
  <w:style w:type="paragraph" w:customStyle="1" w:styleId="a5">
    <w:name w:val="Заголовок"/>
    <w:basedOn w:val="a"/>
    <w:next w:val="a6"/>
    <w:qFormat/>
    <w:rsid w:val="00A753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75343"/>
    <w:pPr>
      <w:spacing w:after="140"/>
    </w:pPr>
  </w:style>
  <w:style w:type="paragraph" w:styleId="a7">
    <w:name w:val="List"/>
    <w:basedOn w:val="a6"/>
    <w:rsid w:val="00A75343"/>
    <w:rPr>
      <w:rFonts w:cs="Arial"/>
    </w:rPr>
  </w:style>
  <w:style w:type="paragraph" w:customStyle="1" w:styleId="Caption">
    <w:name w:val="Caption"/>
    <w:basedOn w:val="a"/>
    <w:qFormat/>
    <w:rsid w:val="00A753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75343"/>
    <w:pPr>
      <w:suppressLineNumbers/>
    </w:pPr>
    <w:rPr>
      <w:rFonts w:cs="Arial"/>
    </w:rPr>
  </w:style>
  <w:style w:type="paragraph" w:customStyle="1" w:styleId="ConsNormal">
    <w:name w:val="ConsNormal"/>
    <w:qFormat/>
    <w:rsid w:val="00504D9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qFormat/>
    <w:rsid w:val="00504D90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9">
    <w:name w:val="List Paragraph"/>
    <w:basedOn w:val="a"/>
    <w:uiPriority w:val="34"/>
    <w:qFormat/>
    <w:rsid w:val="00504D90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04D90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04D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A75343"/>
  </w:style>
  <w:style w:type="paragraph" w:customStyle="1" w:styleId="p1">
    <w:name w:val="_p_Заголовок_1"/>
    <w:qFormat/>
    <w:rsid w:val="00A75343"/>
    <w:pPr>
      <w:suppressAutoHyphens/>
      <w:jc w:val="center"/>
    </w:pPr>
    <w:rPr>
      <w:rFonts w:ascii="Times New Roman" w:eastAsia="Times New Roman" w:hAnsi="Times New Roman" w:cs="Times New Roman"/>
      <w:b/>
      <w:bCs/>
      <w:kern w:val="2"/>
      <w:sz w:val="28"/>
      <w:szCs w:val="32"/>
      <w:lang w:eastAsia="zh-CN"/>
    </w:rPr>
  </w:style>
  <w:style w:type="paragraph" w:customStyle="1" w:styleId="p">
    <w:name w:val="_p_Табл"/>
    <w:qFormat/>
    <w:rsid w:val="00A75343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0">
    <w:name w:val="_p_Текст"/>
    <w:qFormat/>
    <w:rsid w:val="00A75343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A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030"/>
    <w:rPr>
      <w:rFonts w:ascii="Calibri" w:eastAsiaTheme="minorEastAsia" w:hAnsi="Calibri"/>
      <w:sz w:val="22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030"/>
    <w:rPr>
      <w:rFonts w:ascii="Calibri" w:eastAsiaTheme="minorEastAsia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DEPP</dc:creator>
  <dc:description/>
  <cp:lastModifiedBy>DEPP</cp:lastModifiedBy>
  <cp:revision>10</cp:revision>
  <cp:lastPrinted>2021-05-14T09:06:00Z</cp:lastPrinted>
  <dcterms:created xsi:type="dcterms:W3CDTF">2021-01-19T01:50:00Z</dcterms:created>
  <dcterms:modified xsi:type="dcterms:W3CDTF">2021-11-26T09:37:00Z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