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99" w:before="292" w:after="0"/>
        <w:rPr>
          <w:color w:val="383838"/>
          <w:spacing w:val="1"/>
          <w:sz w:val="26"/>
          <w:szCs w:val="26"/>
        </w:rPr>
      </w:pPr>
      <w:r>
        <w:rPr>
          <w:color w:val="383838"/>
          <w:spacing w:val="1"/>
          <w:sz w:val="26"/>
          <w:szCs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jc w:val="right"/>
        <w:rPr>
          <w:sz w:val="26"/>
        </w:rPr>
        <w:framePr w:w="976" w:h="1060" w:x="5365" w:y="1" w:wrap="auto" w:vAnchor="text" w:hAnchor="page" w:hRule="exact"/>
      </w:pPr>
      <w:r>
        <w:rPr/>
        <w:drawing>
          <wp:inline distT="0" distB="0" distL="0" distR="0">
            <wp:extent cx="619125" cy="6191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Cs w:val="26"/>
        </w:rPr>
      </w:pPr>
      <w:r>
        <w:rPr>
          <w:szCs w:val="26"/>
        </w:rPr>
      </w:r>
    </w:p>
    <w:p>
      <w:pPr>
        <w:pStyle w:val="Normal"/>
        <w:rPr>
          <w:szCs w:val="26"/>
        </w:rPr>
      </w:pPr>
      <w:r>
        <w:rPr>
          <w:szCs w:val="26"/>
        </w:rPr>
      </w:r>
    </w:p>
    <w:p>
      <w:pPr>
        <w:pStyle w:val="2"/>
        <w:rPr>
          <w:szCs w:val="26"/>
        </w:rPr>
      </w:pPr>
      <w:r>
        <w:rPr>
          <w:szCs w:val="26"/>
        </w:rPr>
        <w:tab/>
        <w:tab/>
        <w:t xml:space="preserve">                </w:t>
      </w:r>
    </w:p>
    <w:p>
      <w:pPr>
        <w:pStyle w:val="2"/>
        <w:keepNext w:val="true"/>
        <w:widowControl/>
        <w:suppressAutoHyphens w:val="true"/>
        <w:bidi w:val="0"/>
        <w:spacing w:lineRule="auto" w:line="240" w:before="0" w:after="0"/>
        <w:ind w:left="57" w:right="0" w:hanging="0"/>
        <w:jc w:val="left"/>
        <w:outlineLvl w:val="1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 xml:space="preserve">РОССИЯ ФЕДЕРАЦИЯЗ                                   РОССИЙСКАЯ ФЕДЕРАЦИЯ </w:t>
      </w:r>
      <w:r>
        <w:rPr>
          <w:sz w:val="26"/>
          <w:szCs w:val="26"/>
        </w:rPr>
        <w:t>ХАКАС РЕСПУБЛИКАНЫН                                РЕСПУБЛИКА ХАКАСИЯ</w:t>
      </w:r>
    </w:p>
    <w:p>
      <w:pPr>
        <w:pStyle w:val="2"/>
        <w:keepNext w:val="true"/>
        <w:widowControl/>
        <w:suppressAutoHyphens w:val="true"/>
        <w:bidi w:val="0"/>
        <w:spacing w:lineRule="auto" w:line="240" w:before="0" w:after="0"/>
        <w:ind w:left="-283" w:right="0" w:hanging="0"/>
        <w:jc w:val="left"/>
        <w:outlineLvl w:val="1"/>
        <w:rPr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 xml:space="preserve">             </w:t>
        <w:tab/>
        <w:t xml:space="preserve">             АДМИНИСТРАЦИЯ                  ПЎДİСТİН АДМИНИСТРАЦИЯЗЫ</w:t>
        <w:tab/>
        <w:t xml:space="preserve">          УСТЬ-АБАКАНСКОГО ПОССОВЕТА</w:t>
      </w:r>
    </w:p>
    <w:p>
      <w:pPr>
        <w:pStyle w:val="Normal"/>
        <w:jc w:val="left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ПОСТАНОВЛЕНИЕ 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от 26.10.2020г.                                      №112-п.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рп Усть-Абакан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«Жилище»  рп. Усть – Абакан,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утвержденную постановлением 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Главы Усть – Абаканского поссовета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119-п от 17.10.2019 г.</w:t>
      </w:r>
    </w:p>
    <w:p>
      <w:p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ind w:firstLine="708"/>
        <w:jc w:val="both"/>
        <w:rPr>
          <w:rFonts w:ascii="Arial" w:hAnsi="Arial" w:cs="Arial"/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fill="FFFFFF" w:val="clear"/>
        </w:rPr>
        <w:t xml:space="preserve">В целях эффективности реализации мероприятий, улучшения условий жизни граждан, упорядочения мероприятий по планированию и организации капитального ремонта жилищного фонда МО Усть-Абаканский поссовет, в соответствии с Федеральным Законом от 06.10.2003 №131-ФЗ «Об общих принципах организации местного самоуправления в Российской Федерации» </w:t>
      </w:r>
    </w:p>
    <w:p>
      <w:pPr>
        <w:pStyle w:val="Normal"/>
        <w:shd w:val="clear" w:color="auto" w:fill="FFFFFF"/>
        <w:spacing w:lineRule="exact" w:line="299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«Жилище»,утвержденную постановлением Главы Усть – Абаканского поссовета № 119-п от 17.10.20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официальном сайте Администрации Усть-Абаканского поссовета.</w:t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b/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exact" w:line="29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  <w:t>Глава Усть-Абаканского поссовета                                    Н.В.Леонченко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26 .10.2020 г. № 112-п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36"/>
          <w:szCs w:val="36"/>
        </w:rPr>
        <w:t xml:space="preserve"> </w:t>
      </w:r>
      <w:r>
        <w:rPr>
          <w:rFonts w:cs="Times New Roman" w:ascii="Times New Roman" w:hAnsi="Times New Roman"/>
          <w:b w:val="false"/>
          <w:sz w:val="36"/>
          <w:szCs w:val="36"/>
        </w:rPr>
        <w:t xml:space="preserve">МУНИЦИПАЛЬНАЯ ПРОГРАММА </w:t>
      </w:r>
    </w:p>
    <w:p>
      <w:pPr>
        <w:pStyle w:val="Normal"/>
        <w:spacing w:before="280" w:after="28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«Жилище»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spacing w:lineRule="auto" w:line="276"/>
        <w:jc w:val="center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</w:rPr>
        <w:t>Паспорт муниципальной программы</w:t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«Жилище»</w:t>
      </w:r>
    </w:p>
    <w:tbl>
      <w:tblPr>
        <w:tblW w:w="10783" w:type="dxa"/>
        <w:jc w:val="left"/>
        <w:tblInd w:w="-10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797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Администрация Усть-Абаканского поссовета</w:t>
            </w:r>
          </w:p>
        </w:tc>
      </w:tr>
      <w:tr>
        <w:trPr>
          <w:trHeight w:val="82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249" w:before="0" w:after="166"/>
              <w:ind w:left="-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9" w:before="0" w:after="166"/>
              <w:ind w:left="-60" w:hanging="0"/>
              <w:rPr/>
            </w:pPr>
            <w:r>
              <w:rPr>
                <w:sz w:val="28"/>
                <w:szCs w:val="28"/>
              </w:rPr>
              <w:t>- «Капитальный ремонт муниципального жилищного фонда »</w:t>
            </w:r>
          </w:p>
          <w:p>
            <w:pPr>
              <w:pStyle w:val="Normal"/>
              <w:spacing w:lineRule="atLeast" w:line="249" w:before="0" w:after="166"/>
              <w:ind w:left="-60" w:hanging="0"/>
              <w:rPr/>
            </w:pPr>
            <w:r>
              <w:rPr>
                <w:sz w:val="28"/>
                <w:szCs w:val="28"/>
              </w:rPr>
              <w:t>-«</w:t>
            </w:r>
            <w:r>
              <w:rPr>
                <w:rFonts w:eastAsia="Calibri"/>
                <w:sz w:val="28"/>
                <w:szCs w:val="28"/>
              </w:rPr>
              <w:t xml:space="preserve"> Строительству жилья, предоставляемого по договору найма жилого помещения»;</w:t>
            </w:r>
          </w:p>
        </w:tc>
      </w:tr>
      <w:tr>
        <w:trPr>
          <w:trHeight w:val="2825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ind w:left="1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80" w:type="dxa"/>
              <w:jc w:val="left"/>
              <w:tblInd w:w="0" w:type="dxa"/>
              <w:tblCellMar>
                <w:top w:w="62" w:type="dxa"/>
                <w:left w:w="102" w:type="dxa"/>
                <w:bottom w:w="102" w:type="dxa"/>
                <w:right w:w="62" w:type="dxa"/>
              </w:tblCellMar>
            </w:tblPr>
            <w:tblGrid>
              <w:gridCol w:w="184"/>
              <w:gridCol w:w="184"/>
              <w:gridCol w:w="8312"/>
            </w:tblGrid>
            <w:tr>
              <w:trPr>
                <w:trHeight w:val="2506" w:hRule="atLeast"/>
              </w:trPr>
              <w:tc>
                <w:tcPr>
                  <w:tcW w:w="184" w:type="dxa"/>
                  <w:tcBorders/>
                </w:tcPr>
                <w:p>
                  <w:pPr>
                    <w:pStyle w:val="Normal"/>
                    <w:snapToGrid w:val="false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  <w:tc>
                <w:tcPr>
                  <w:tcW w:w="184" w:type="dxa"/>
                  <w:tcBorders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  <w:tc>
                <w:tcPr>
                  <w:tcW w:w="8312" w:type="dxa"/>
                  <w:tcBorders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</w:rPr>
                    <w:t>-Обеспечение проведения капитального ремонта всех многоквартирных</w:t>
                  </w:r>
                </w:p>
                <w:p>
                  <w:pPr>
                    <w:pStyle w:val="Normal"/>
                    <w:ind w:left="-2989" w:firstLine="298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домов, расположенных на территории р.п. Усть-Абакан;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</w:rPr>
                    <w:t>- Создание безопасных и благоприятных условий проживания граждан;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</w:rPr>
                    <w:t>- Улучшение эксплуатационных характеристик общего имущества многоквартирных домов;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</w:rPr>
                    <w:t>- Обеспечение сохранности многоквартирных домов и улучшение комфортности проживания в них граждан;</w:t>
                  </w:r>
                </w:p>
                <w:p>
                  <w:pPr>
                    <w:pStyle w:val="Normal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 Повышение доступности жилья на территории рп. Усть – Абакан;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</w:rPr>
                    <w:t>- Повышение качества жилищного обеспечения населения, в том числе с учетом исполнения обязательств по обеспечению жильем отдельных категорий граждан.</w:t>
                  </w:r>
                </w:p>
              </w:tc>
            </w:tr>
          </w:tbl>
          <w:p>
            <w:pPr>
              <w:pStyle w:val="ConsPlusNonformat"/>
              <w:spacing w:before="0" w:after="200"/>
              <w:ind w:left="1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tabs>
                <w:tab w:val="clear" w:pos="708"/>
                <w:tab w:val="left" w:pos="5532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Проведение работ по устранению неисправностей изношенных конструктивных элементов общего имущества собственников помещений в многоквартирных домах, в том числе по их восстановлению или замене;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Снижение физического износа многоквартирных домов;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Увеличение срока эксплуатации жилищного фонда;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Повышение энергоэффективности многоквартирных домов;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жильем, предоставляемым по договору найма жилого помещения;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Увеличение муниципального жилищного фонда.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tabs>
                <w:tab w:val="clear" w:pos="708"/>
                <w:tab w:val="left" w:pos="5532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Снижение уровня изношенности муниципального жилищного фонда: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г. – 17%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г. – 16 %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2017 г. - 15 %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2018 г. - 10 %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2019 г. - 6 %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г. – 7%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г-.7,1%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Строительство индивидуального  жилья (м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):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г.- 96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ind w:left="32" w:hanging="3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Общий объем финансирования программы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2 165 004,00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руб.,    из них средства: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2015 год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201 490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руб., из них  средства: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 201 490 руб.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2016 год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283 300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руб., из них средства: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283 300 руб.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2017 год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194 814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руб., из них  средства: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194 814 руб.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2018 год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243 600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руб., из них средства: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243 600 руб.</w:t>
            </w:r>
          </w:p>
          <w:p>
            <w:pPr>
              <w:pStyle w:val="Normal"/>
              <w:tabs>
                <w:tab w:val="clear" w:pos="708"/>
                <w:tab w:val="left" w:pos="-851" w:leader="none"/>
                <w:tab w:val="left" w:pos="0" w:leader="none"/>
              </w:tabs>
              <w:ind w:hanging="1701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534 600</w:t>
            </w:r>
            <w:r>
              <w:rPr>
                <w:sz w:val="28"/>
                <w:szCs w:val="28"/>
              </w:rPr>
              <w:t xml:space="preserve"> руб., из них средства: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534 600 руб.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2020 год – 922 562,70  руб.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568,96270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–353 600 руб.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2021 год – 353 600 руб.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республиканского бюджета – 0,00 тыс. руб.;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353 600 руб.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2022 год – 353 600 руб.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    республиканского бюджета – 0,00 тыс. руб.;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районного  бюджета – 0,00 тыс. руб.;</w:t>
            </w:r>
          </w:p>
          <w:p>
            <w:pPr>
              <w:pStyle w:val="ConsPlusCell"/>
              <w:widowControl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бюджет поселений – 353 600 руб.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Ожидаемые  результаты   реализации    </w:t>
            </w:r>
          </w:p>
        </w:tc>
        <w:tc>
          <w:tcPr>
            <w:tcW w:w="8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Приведение  многоквартирных домов в соответствие со стандартами качества, обеспечивающими комфортные условия проживания гражданам;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Снижение уровня износа и улучшение состояния общего имущества многоквартирных домов общей площадью 146,5 тыс. кв. м.;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- Средняя обеспеченность общей площадью жилья 96 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жильем граждан, постоянно проживающих на сельских территориях, работающих по трудовому договору, признанных нуждающимися в улучшении жилищных условий.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Calibri"/>
          <w:b/>
          <w:sz w:val="28"/>
          <w:szCs w:val="28"/>
        </w:rPr>
        <w:t>2. Характеристика проблемы и пути ее решения.</w:t>
      </w:r>
    </w:p>
    <w:p>
      <w:pPr>
        <w:pStyle w:val="Normal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В настоящее время техническое состояние многоквартирных домов, расположенных на территории р.п. Усть-Абакан, большинство из которых эксплуатируются 30 лет и более, не соответствует современным требованиям, предъявляемым к техническим и качественным характеристикам жилищного фонда.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Недостаточная теплоизоляция стен зданий и нарушение изоляции межпанельных швов фасада здания приводят к неоправданным теплопотерям. Внутридомовые инженерные системы находятся в изношенном состоянии, что снижает качество получаемых потребителями коммунальных услуг. Неудовлетворительное состояние кровельных покрытий влечет причинение ущерба имуществу собственников помещений в многоквартирных домах и угрожает безопасности жителей.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целью улучшения условий жизни граждан необходимы приведение технического состояния многоквартирных домов в соответствие с современными требованиями и предупреждение тотального обветшания жилищного фонда. Одним из эффективных способов решения данной задачи является сохранение и обновление существующего жилищного фонда за счет мероприятий по капитальному ремонту общего имущества в многоквартирных домах.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 xml:space="preserve">Положения Жилищного </w:t>
      </w:r>
      <w:hyperlink r:id="rId3">
        <w:r>
          <w:rPr>
            <w:rFonts w:eastAsia="Calibri"/>
            <w:color w:val="0000FF"/>
            <w:sz w:val="28"/>
            <w:szCs w:val="28"/>
          </w:rPr>
          <w:t>кодекса</w:t>
        </w:r>
      </w:hyperlink>
      <w:r>
        <w:rPr>
          <w:rFonts w:eastAsia="Calibri"/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упорядочения мероприятий по планированию и организации капитального ремонта жилищного фонда дальнейшее выполнение капитального ремонта общего имущества многоквартирных домов необходимо осуществлять программно-целевым методом в рамках региональной программы, обеспеченной соответствующим финансированием, а также системой планирования и контроля.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Региональной программой "Капитальный ремонт общего имущества в многоквартирных домах, расположенных на территории Республики Хакасия (2014 - 2043 годы)" (далее - Программа) определены очередность, плановый период проведения работ и (или) услуг по капитальному ремонту общего имущества в многоквартирных домах.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 xml:space="preserve">В Программу включены все многоквартирные дома, за исключением домов, признанных аварийными и подлежащими сносу или реконструкции в порядке, установленном </w:t>
      </w:r>
      <w:hyperlink r:id="rId4">
        <w:r>
          <w:rPr>
            <w:rFonts w:eastAsia="Calibri"/>
            <w:color w:val="0000FF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>
      <w:pPr>
        <w:pStyle w:val="Normal"/>
        <w:jc w:val="both"/>
        <w:rPr/>
      </w:pPr>
      <w:r>
        <w:rPr>
          <w:sz w:val="28"/>
          <w:szCs w:val="28"/>
        </w:rPr>
        <w:t>Общая площадь объектов недвижимости, находящаяся в муниципальной собственности  в рп. Усть – Абакан по состоянию на 01.01.2020 г. составляет 177475,8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кв. метров. Общая площадь жилого фонда 376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Из них аварийное жилье 5056,3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Количество граждан, состоящих в очереди на улучшение жилищных условий по состоянию на 01.10ю2020 года, составляет 410 человек, это 2,7 % от общего количества населения рп. Усть – Абакан.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многодетных семей всего 82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слоёв населения муниципального образования Усть – Абаканский район.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 развития малоэтажного индивидуального жилищного строительства на территории муниципального образования Усть – Абаканский район 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Причиной низких темпов развития жилищного строительства является: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отсутствие инженерной инфраструктуры на земельных участках, на которых предусмотрено малоэтажное индивидуальное жилищное строительство.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низкий уровень доходов населения района, не позволяющий гражданам приобретать малоэтажные индивидуальные дома либо осуществлять индивидуальное строительство.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 – Абаканского поссовета из-за ограниченных возможностей бюджета и большого объема аварийного и непригодного для проживания жилищного фонда не может самостоятельно решить проблему обеспечения жильем граждан, проживающих в жилье, не отвечающем установленным санитарным и техническим требованиям, в том числе представляющем угрозу для жизни. Большинство граждан, проживающих в аварийных и непригодных для проживания домах, также не в состоянии самостоятельно приобрести или получить на условиях найма жилье удовлетворительного качества.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вопроса по обеспечению жильем молодых семей остается на протяжении последних лет серьезной проблемой в районе. Она приобрела особую актуальность,  начиная с 2002 года, когда в период рождения первого ребенка вступило поколение 1982 – 1986 годов рождения – поколение самой высокой численности за прошедший период, при этом согласно результатам статистического наблюдения, 80%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Calibri"/>
          <w:b/>
          <w:sz w:val="28"/>
          <w:szCs w:val="28"/>
        </w:rPr>
        <w:t>3. Цели и задачи.</w:t>
      </w:r>
    </w:p>
    <w:p>
      <w:pPr>
        <w:pStyle w:val="Normal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Цели Программы: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 обеспечение проведения капитального ремонта всех многоквартирных домов, расположенных на территории р.п. Усть-Абакан;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 создание безопасных и благоприятных условий проживания граждан;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-улучшение эксплуатационных характеристик общего имущества многоквартирных домов;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-обеспечение сохранности многоквартирных домов и улучшение комфортности проживания в них граждан.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-повышение доступности жилья на территории рп. Усть – Абакан;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-повышение качества жилищного обеспечения населения, в том числе с учетом исполнения обязательств по обеспечению жильем отдельных категорий граждан.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достижения поставленных целей предусматривается решение следующих задач: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-проведение работ по устранению неисправностей изношенных конструктивных элементов общего имущества собственников помещений в многоквартирных домах, в том числе по их восстановлению или замене;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 снижение физического износа многоквартирных домов;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 увеличение срока эксплуатации жилищного фонда;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>- повышение энергоэффективности многоквартирных домов.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жильем, предоставляемым по договору найма жилого помещения;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муниципального жилищного фонда.</w:t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необходимых правовых, финансовых, экономических и организационных условий для решения жилищных проблем молодых семей;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предоставления молодым семьям-участникам подпрограммы социальных выплат на приобретение жилья или строительство индивидуального жилого дома;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целей и задач осуществляется за счет комплексного выполнения мероприятий Программы по проведению капитального ремонта при взаимодействии органов исполнительной власти Республики Хакасия с муниципальными образованиями Республики Хакасия, Некоммерческой организацией "Республиканский фонд капитального ремонта многоквартирных домов" (далее - Региональный оператор), владельцами специальных счетов, управляющими организациями и собственниками помещений в многоквартирных домах.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Перечень услуг и (или) работ по капитальному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ремонту общего имущества в многоквартирных домах.</w:t>
      </w:r>
    </w:p>
    <w:p>
      <w:pPr>
        <w:pStyle w:val="Normal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услуг и (или) работ по капитальному ремонту общего имущества многоквартирных домов, которые финансируются за счет средств фонда капитального ремонта, включает проведение следующих видов работ: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2) ремонт крыши, в том числе переустройство невентилируемой крыши на вентилируемую крышу, устройство выходов на кровлю;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4) утепление и ремонт фасада;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6) ремонт фундамента многоквартирного дома;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7) разработка и проведение государственной экспертизы проектной документации (в случае если подготовка проектной документации необходима в соответствии с законодательством Российской Федерации о градостроительной деятельности);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8"/>
          <w:szCs w:val="28"/>
        </w:rPr>
        <w:t>8) осуществление строительного контроля.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Style21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мероприятий, которые предлагаются для решения задач Программы:</w:t>
      </w:r>
    </w:p>
    <w:p>
      <w:pPr>
        <w:pStyle w:val="Normal"/>
        <w:spacing w:before="280" w:after="280"/>
        <w:jc w:val="center"/>
        <w:rPr/>
      </w:pPr>
      <w:r>
        <w:rPr/>
        <w:t>«ЖИЛИЩЕ»</w:t>
      </w:r>
    </w:p>
    <w:tbl>
      <w:tblPr>
        <w:tblW w:w="10464" w:type="dxa"/>
        <w:jc w:val="left"/>
        <w:tblInd w:w="-6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277"/>
        <w:gridCol w:w="1607"/>
        <w:gridCol w:w="1614"/>
        <w:gridCol w:w="1610"/>
        <w:gridCol w:w="1615"/>
      </w:tblGrid>
      <w:tr>
        <w:trPr>
          <w:trHeight w:val="386" w:hRule="atLeast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176" w:leader="none"/>
              </w:tabs>
              <w:ind w:left="-533" w:hanging="0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3м</w:t>
              <w:tab/>
              <w:t>№п/п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2022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 муниципального жилищного фонда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30 000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50 000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обследования , формирование тарифов, текущий ремонт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145 500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60 000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145 500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30 000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30 000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Вносы на капитальный ремонт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213 600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213 600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213 600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213 600</w:t>
            </w:r>
          </w:p>
        </w:tc>
      </w:tr>
      <w:tr>
        <w:trPr/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534 600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353 600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353 600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353 600</w:t>
            </w:r>
          </w:p>
        </w:tc>
      </w:tr>
    </w:tbl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</w:rPr>
        <w:t>Мероприятия по строительству жилья, предоставляемого по договору найма жилого помещения на 2020 год.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tbl>
      <w:tblPr>
        <w:tblW w:w="986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1475"/>
        <w:gridCol w:w="2129"/>
        <w:gridCol w:w="2238"/>
      </w:tblGrid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иных межбюджетных трансфертов из бюджета МО Усть-Абаканский район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 финансирования из бюджета МО Усть – Абаканский поссовет Усть – Абаканского района 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Разработка проектно – сметной документации повторного применения на объекты :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 xml:space="preserve">«Строительство индивидуального одноквартирного жилого дома в п.Усть-Абакан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=54 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 xml:space="preserve">«Строительство индивидуального одноквартирного жилого дома в п.Усть-Абакан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=42 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545 000,00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545 000,00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Проведение государственной экспертизы проектной документации и результатов инженерных изысканий  по объектам: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 xml:space="preserve">«Строительство индивидуального одноквартирного жилого дома в п.Усть-Абакан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=54 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 xml:space="preserve">«Строительство индивидуального одноквартирного жилого дома в п.Усть-Абакан </w:t>
            </w:r>
            <w:r>
              <w:rPr>
                <w:rFonts w:eastAsia="Calibri"/>
                <w:sz w:val="28"/>
                <w:szCs w:val="28"/>
                <w:lang w:val="en-US"/>
              </w:rPr>
              <w:t>S</w:t>
            </w:r>
            <w:r>
              <w:rPr>
                <w:rFonts w:eastAsia="Calibri"/>
                <w:sz w:val="28"/>
                <w:szCs w:val="28"/>
              </w:rPr>
              <w:t>=42 м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23 962,70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23 962,70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568 962,70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568 962,70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Calibri"/>
          <w:b/>
          <w:sz w:val="28"/>
          <w:szCs w:val="28"/>
        </w:rPr>
        <w:t>6. Оценка эффективности.</w:t>
      </w:r>
    </w:p>
    <w:p>
      <w:pPr>
        <w:pStyle w:val="Normal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позволит: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/>
          <w:sz w:val="28"/>
          <w:szCs w:val="28"/>
        </w:rPr>
        <w:t>Улучшить и сохранить состояние многоквартирного жилищного фонда, повысить комфортность проживания в нем граждан;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/>
          <w:sz w:val="28"/>
          <w:szCs w:val="28"/>
        </w:rPr>
        <w:t>Обеспечить надежность работы внутридомовых инженерных систем, безопасность условий проживания граждан;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/>
          <w:sz w:val="28"/>
          <w:szCs w:val="28"/>
        </w:rPr>
        <w:t>Ликвидировать критический уровень износа основных фондов, довести сроки проведения капитального ремонта жилищного фонда до нормативного уровня;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/>
          <w:sz w:val="28"/>
          <w:szCs w:val="28"/>
        </w:rPr>
        <w:t>Повысить уровень энергосбережения в жилищном фонде.</w:t>
      </w:r>
    </w:p>
    <w:p>
      <w:pPr>
        <w:pStyle w:val="Normal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Повысить уровень доступности жилья на территории рп. Усть – Абакан;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Повысить качество жилищного обеспечения населения, в том числе с учетом исполнения обязательств по обеспечению жильем отдельных категорий граждан.</w:t>
      </w:r>
    </w:p>
    <w:p>
      <w:pPr>
        <w:pStyle w:val="Normal"/>
        <w:ind w:left="360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9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</w:tabs>
        <w:spacing w:lineRule="exact" w:line="29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</w:tabs>
        <w:spacing w:lineRule="exact" w:line="29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</w:tabs>
        <w:spacing w:lineRule="exact" w:line="29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</w:tabs>
        <w:spacing w:lineRule="exact" w:line="29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</w:tabs>
        <w:spacing w:lineRule="exact" w:line="29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hd w:val="clear" w:color="auto" w:fill="FFFFFF"/>
        <w:spacing w:lineRule="exact" w:line="299" w:before="292" w:after="0"/>
        <w:rPr>
          <w:color w:val="383838"/>
          <w:spacing w:val="1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7e2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1d7e25"/>
    <w:pPr>
      <w:keepNext w:val="true"/>
      <w:widowControl/>
      <w:ind w:firstLine="708"/>
      <w:outlineLvl w:val="1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d7e25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d7e25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b07d17"/>
    <w:rPr>
      <w:color w:val="0000FF"/>
      <w:u w:val="single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9z0">
    <w:name w:val="WW8Num19z0"/>
    <w:qFormat/>
    <w:rPr>
      <w:rFonts w:eastAsia="Calibri"/>
      <w:sz w:val="28"/>
      <w:szCs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7e25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numbering" w:styleId="WW8Num21">
    <w:name w:val="WW8Num21"/>
    <w:qFormat/>
  </w:style>
  <w:style w:type="numbering" w:styleId="WW8Num19">
    <w:name w:val="WW8Num19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5D6A0C55616CEFD9489D26315A6078AF835C8AC8F40948618BD332600c2e7G" TargetMode="External"/><Relationship Id="rId4" Type="http://schemas.openxmlformats.org/officeDocument/2006/relationships/hyperlink" Target="consultantplus://offline/ref=45D6A0C55616CEFD9489D26315A6078AF837CAA58C44948618BD332600c2e7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3820-BF95-4083-A7B1-DB164E2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LibreOffice/6.4.4.2$Windows_x86 LibreOffice_project/3d775be2011f3886db32dfd395a6a6d1ca2630ff</Application>
  <Pages>10</Pages>
  <Words>1816</Words>
  <Characters>12904</Characters>
  <CharactersWithSpaces>14987</CharactersWithSpaces>
  <Paragraphs>216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2018-11-19T03:49:00Z</dcterms:created>
  <dc:creator>User</dc:creator>
  <dc:description/>
  <dc:language>ru-RU</dc:language>
  <cp:lastModifiedBy/>
  <cp:lastPrinted>2020-10-28T10:56:20Z</cp:lastPrinted>
  <dcterms:modified xsi:type="dcterms:W3CDTF">2020-10-28T11:05:19Z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